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6A" w:rsidRPr="002A081A" w:rsidRDefault="006A1C6A" w:rsidP="006A1C6A">
      <w:pPr>
        <w:jc w:val="right"/>
        <w:rPr>
          <w:rFonts w:ascii="Times New Roman" w:hAnsi="Times New Roman" w:cs="Times New Roman"/>
        </w:rPr>
      </w:pP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4"/>
          <w:szCs w:val="26"/>
        </w:rPr>
      </w:pP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4948870C" wp14:editId="7E71BBE9">
            <wp:simplePos x="0" y="0"/>
            <wp:positionH relativeFrom="column">
              <wp:posOffset>4761230</wp:posOffset>
            </wp:positionH>
            <wp:positionV relativeFrom="paragraph">
              <wp:posOffset>57150</wp:posOffset>
            </wp:positionV>
            <wp:extent cx="1301750" cy="755650"/>
            <wp:effectExtent l="19050" t="0" r="0" b="0"/>
            <wp:wrapNone/>
            <wp:docPr id="35" name="Picture 2" descr="D:\shahin\VAT online 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ahin\VAT online Project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81A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6C42D0B4" wp14:editId="5A4D7B5B">
            <wp:simplePos x="0" y="0"/>
            <wp:positionH relativeFrom="column">
              <wp:posOffset>82660</wp:posOffset>
            </wp:positionH>
            <wp:positionV relativeFrom="paragraph">
              <wp:posOffset>43732</wp:posOffset>
            </wp:positionV>
            <wp:extent cx="790410" cy="779228"/>
            <wp:effectExtent l="19050" t="0" r="9525" b="0"/>
            <wp:wrapNone/>
            <wp:docPr id="36" name="Picture 1" descr="D:\destop\Education Board Bangladesh_files\b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top\Education Board Bangladesh_files\bd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81A">
        <w:rPr>
          <w:rFonts w:ascii="Times New Roman" w:hAnsi="Times New Roman" w:cs="Times New Roman"/>
          <w:sz w:val="26"/>
          <w:szCs w:val="26"/>
        </w:rPr>
        <w:t>Government of the People’s Republic of Bangladesh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sz w:val="26"/>
          <w:szCs w:val="26"/>
        </w:rPr>
        <w:t>Ministry of Finance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sz w:val="26"/>
          <w:szCs w:val="26"/>
        </w:rPr>
        <w:t>Internal Resources Division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sz w:val="26"/>
          <w:szCs w:val="26"/>
        </w:rPr>
        <w:t>National Board of Revenue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sz w:val="26"/>
          <w:szCs w:val="26"/>
        </w:rPr>
        <w:t>VAT Online Project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sz w:val="26"/>
          <w:szCs w:val="26"/>
        </w:rPr>
        <w:t>IDEB Bhaban (7</w:t>
      </w:r>
      <w:r w:rsidRPr="002A081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2A081A">
        <w:rPr>
          <w:rFonts w:ascii="Times New Roman" w:hAnsi="Times New Roman" w:cs="Times New Roman"/>
          <w:sz w:val="26"/>
          <w:szCs w:val="26"/>
        </w:rPr>
        <w:t xml:space="preserve"> Floor)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sz w:val="26"/>
          <w:szCs w:val="26"/>
        </w:rPr>
        <w:t>160/A, Kakrail, Dhaka-1000.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A081A">
        <w:rPr>
          <w:rFonts w:ascii="Times New Roman" w:hAnsi="Times New Roman" w:cs="Times New Roman"/>
          <w:sz w:val="26"/>
          <w:szCs w:val="26"/>
          <w:u w:val="single"/>
        </w:rPr>
        <w:t>www.nbr.gov.bd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081A">
        <w:rPr>
          <w:rFonts w:ascii="Times New Roman" w:hAnsi="Times New Roman" w:cs="Times New Roman"/>
          <w:sz w:val="26"/>
          <w:szCs w:val="26"/>
        </w:rPr>
        <w:t>[Fax: 02-9348514, PABX: 02-9348448, 8321308]</w:t>
      </w:r>
    </w:p>
    <w:p w:rsidR="006A1C6A" w:rsidRPr="002A081A" w:rsidRDefault="006A1C6A" w:rsidP="006A1C6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4"/>
        </w:rPr>
      </w:pPr>
    </w:p>
    <w:p w:rsidR="006A1C6A" w:rsidRPr="002A081A" w:rsidRDefault="003249FE" w:rsidP="006A1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1A">
        <w:rPr>
          <w:rFonts w:ascii="Times New Roman" w:hAnsi="Times New Roman" w:cs="Times New Roman"/>
          <w:sz w:val="24"/>
          <w:szCs w:val="24"/>
        </w:rPr>
        <w:t>File No.-08.01.0000.068.11.005.12(70)2015                                      Dated:</w:t>
      </w:r>
      <w:r w:rsidR="00E7145E" w:rsidRPr="002A081A">
        <w:rPr>
          <w:rFonts w:ascii="Times New Roman" w:hAnsi="Times New Roman" w:cs="Times New Roman"/>
          <w:sz w:val="24"/>
          <w:szCs w:val="24"/>
        </w:rPr>
        <w:t xml:space="preserve"> 04.10</w:t>
      </w:r>
      <w:r w:rsidRPr="002A081A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6A1C6A" w:rsidRPr="002A081A" w:rsidRDefault="006A1C6A" w:rsidP="006A1C6A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6A1C6A" w:rsidRPr="002A081A" w:rsidRDefault="006A1C6A" w:rsidP="006A1C6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A6292" w:rsidRPr="002A081A" w:rsidRDefault="00447A0A" w:rsidP="003249FE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2A081A">
        <w:rPr>
          <w:rFonts w:ascii="Times New Roman" w:hAnsi="Times New Roman" w:cs="Times New Roman"/>
          <w:b/>
          <w:sz w:val="34"/>
          <w:szCs w:val="34"/>
          <w:lang w:val="en-US"/>
        </w:rPr>
        <w:t>Request for Expressions of Interest</w:t>
      </w:r>
      <w:r w:rsidR="00BB4501" w:rsidRPr="002A081A">
        <w:rPr>
          <w:rFonts w:ascii="Times New Roman" w:hAnsi="Times New Roman" w:cs="Times New Roman"/>
          <w:b/>
          <w:sz w:val="34"/>
          <w:szCs w:val="34"/>
          <w:lang w:val="en-US"/>
        </w:rPr>
        <w:t xml:space="preserve"> (International)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47A0A" w:rsidRPr="002A081A" w:rsidTr="00447A0A">
        <w:tc>
          <w:tcPr>
            <w:tcW w:w="2547" w:type="dxa"/>
          </w:tcPr>
          <w:p w:rsidR="00447A0A" w:rsidRPr="002A081A" w:rsidRDefault="003249FE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Ministry/</w:t>
            </w:r>
            <w:r w:rsidR="00447A0A" w:rsidRPr="002A081A">
              <w:rPr>
                <w:rFonts w:ascii="Times New Roman" w:hAnsi="Times New Roman" w:cs="Times New Roman"/>
                <w:lang w:val="en-US"/>
              </w:rPr>
              <w:t>Division</w:t>
            </w:r>
          </w:p>
        </w:tc>
        <w:tc>
          <w:tcPr>
            <w:tcW w:w="6469" w:type="dxa"/>
          </w:tcPr>
          <w:p w:rsidR="00447A0A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Ministry of Finance</w:t>
            </w:r>
            <w:r w:rsidR="003249FE" w:rsidRPr="002A081A">
              <w:rPr>
                <w:rFonts w:ascii="Times New Roman" w:hAnsi="Times New Roman" w:cs="Times New Roman"/>
                <w:lang w:val="en-US"/>
              </w:rPr>
              <w:t>/Internal Resources Division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Agency</w:t>
            </w:r>
          </w:p>
        </w:tc>
        <w:tc>
          <w:tcPr>
            <w:tcW w:w="6469" w:type="dxa"/>
          </w:tcPr>
          <w:p w:rsidR="00447A0A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National Board of Revenue (NBR)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Procuring Entity Name</w:t>
            </w:r>
          </w:p>
        </w:tc>
        <w:tc>
          <w:tcPr>
            <w:tcW w:w="6469" w:type="dxa"/>
          </w:tcPr>
          <w:p w:rsidR="00447A0A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Project Director</w:t>
            </w:r>
            <w:r w:rsidR="003249FE" w:rsidRPr="002A081A">
              <w:rPr>
                <w:rFonts w:ascii="Times New Roman" w:hAnsi="Times New Roman" w:cs="Times New Roman"/>
                <w:lang w:val="en-US"/>
              </w:rPr>
              <w:t>,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VAT Online Project, NBR</w:t>
            </w:r>
          </w:p>
        </w:tc>
      </w:tr>
      <w:tr w:rsidR="00447A0A" w:rsidRPr="002A081A" w:rsidTr="00BB4501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Procuring Entity Code</w:t>
            </w:r>
          </w:p>
        </w:tc>
        <w:tc>
          <w:tcPr>
            <w:tcW w:w="6469" w:type="dxa"/>
            <w:shd w:val="clear" w:color="auto" w:fill="FFFFFF" w:themeFill="background1"/>
          </w:tcPr>
          <w:p w:rsidR="00447A0A" w:rsidRPr="002A081A" w:rsidRDefault="000C0B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N/A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Procuring Entity District</w:t>
            </w:r>
          </w:p>
        </w:tc>
        <w:tc>
          <w:tcPr>
            <w:tcW w:w="6469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Dhaka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EOI for Selection of</w:t>
            </w:r>
          </w:p>
        </w:tc>
        <w:tc>
          <w:tcPr>
            <w:tcW w:w="6469" w:type="dxa"/>
          </w:tcPr>
          <w:p w:rsidR="00447A0A" w:rsidRPr="002A081A" w:rsidRDefault="003249FE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Consulting Firm (Lump</w:t>
            </w:r>
            <w:r w:rsidR="00BB4501" w:rsidRPr="002A081A">
              <w:rPr>
                <w:rFonts w:ascii="Times New Roman" w:hAnsi="Times New Roman" w:cs="Times New Roman"/>
                <w:lang w:val="en-US"/>
              </w:rPr>
              <w:t>-</w:t>
            </w:r>
            <w:r w:rsidRPr="002A081A">
              <w:rPr>
                <w:rFonts w:ascii="Times New Roman" w:hAnsi="Times New Roman" w:cs="Times New Roman"/>
                <w:lang w:val="en-US"/>
              </w:rPr>
              <w:t>s</w:t>
            </w:r>
            <w:r w:rsidR="00447A0A" w:rsidRPr="002A081A">
              <w:rPr>
                <w:rFonts w:ascii="Times New Roman" w:hAnsi="Times New Roman" w:cs="Times New Roman"/>
                <w:lang w:val="en-US"/>
              </w:rPr>
              <w:t>um)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Title</w:t>
            </w:r>
          </w:p>
        </w:tc>
        <w:tc>
          <w:tcPr>
            <w:tcW w:w="6469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 xml:space="preserve">Consultancy Services for </w:t>
            </w:r>
            <w:r w:rsidRPr="002A081A">
              <w:rPr>
                <w:rFonts w:ascii="Times New Roman" w:hAnsi="Times New Roman" w:cs="Times New Roman"/>
                <w:b/>
                <w:lang w:val="en-US"/>
              </w:rPr>
              <w:t>CONTACT CENTER AND CENTRAL PROCESSING CENTER SERVICES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EOI Ref No:</w:t>
            </w:r>
          </w:p>
        </w:tc>
        <w:tc>
          <w:tcPr>
            <w:tcW w:w="6469" w:type="dxa"/>
          </w:tcPr>
          <w:p w:rsidR="00447A0A" w:rsidRPr="002A081A" w:rsidRDefault="00BB4501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sz w:val="24"/>
                <w:szCs w:val="24"/>
              </w:rPr>
              <w:t xml:space="preserve">08.01.0000.068.11.005.12(70)2015 </w:t>
            </w:r>
          </w:p>
        </w:tc>
      </w:tr>
      <w:tr w:rsidR="00447A0A" w:rsidRPr="002A081A" w:rsidTr="00BB4501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Date:</w:t>
            </w:r>
          </w:p>
        </w:tc>
        <w:tc>
          <w:tcPr>
            <w:tcW w:w="6469" w:type="dxa"/>
            <w:shd w:val="clear" w:color="auto" w:fill="FFFFFF" w:themeFill="background1"/>
          </w:tcPr>
          <w:p w:rsidR="00447A0A" w:rsidRPr="002A081A" w:rsidRDefault="00E7145E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04.10</w:t>
            </w:r>
            <w:r w:rsidR="00BB4501" w:rsidRPr="002A081A">
              <w:rPr>
                <w:rFonts w:ascii="Times New Roman" w:hAnsi="Times New Roman" w:cs="Times New Roman"/>
                <w:lang w:val="en-US"/>
              </w:rPr>
              <w:t>.2015</w:t>
            </w:r>
          </w:p>
        </w:tc>
      </w:tr>
      <w:tr w:rsidR="00447A0A" w:rsidRPr="002A081A" w:rsidTr="00447A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Key Information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Procurement Method</w:t>
            </w:r>
          </w:p>
        </w:tc>
        <w:tc>
          <w:tcPr>
            <w:tcW w:w="6469" w:type="dxa"/>
          </w:tcPr>
          <w:p w:rsidR="00447A0A" w:rsidRPr="002A081A" w:rsidRDefault="00BB4501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Quality and Cost-</w:t>
            </w:r>
            <w:r w:rsidR="00447A0A" w:rsidRPr="002A081A">
              <w:rPr>
                <w:rFonts w:ascii="Times New Roman" w:hAnsi="Times New Roman" w:cs="Times New Roman"/>
                <w:lang w:val="en-US"/>
              </w:rPr>
              <w:t>Based Selection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(QCBS)</w:t>
            </w:r>
          </w:p>
        </w:tc>
      </w:tr>
      <w:tr w:rsidR="00447A0A" w:rsidRPr="002A081A" w:rsidTr="00447A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Funding Information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Budget and Source of Funds</w:t>
            </w:r>
          </w:p>
        </w:tc>
        <w:tc>
          <w:tcPr>
            <w:tcW w:w="6469" w:type="dxa"/>
          </w:tcPr>
          <w:p w:rsidR="00447A0A" w:rsidRPr="002A081A" w:rsidRDefault="00BB4501" w:rsidP="00BB4501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 xml:space="preserve">Development Budget, </w:t>
            </w:r>
            <w:r w:rsidR="008E6FCC" w:rsidRPr="002A081A">
              <w:rPr>
                <w:rFonts w:ascii="Times New Roman" w:hAnsi="Times New Roman" w:cs="Times New Roman"/>
                <w:lang w:val="en-US"/>
              </w:rPr>
              <w:t>GoB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Development Partner</w:t>
            </w:r>
          </w:p>
        </w:tc>
        <w:tc>
          <w:tcPr>
            <w:tcW w:w="6469" w:type="dxa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World Bank</w:t>
            </w:r>
          </w:p>
        </w:tc>
      </w:tr>
      <w:tr w:rsidR="00447A0A" w:rsidRPr="002A081A" w:rsidTr="00944CC8">
        <w:tc>
          <w:tcPr>
            <w:tcW w:w="9016" w:type="dxa"/>
            <w:gridSpan w:val="2"/>
            <w:shd w:val="clear" w:color="auto" w:fill="D9D9D9" w:themeFill="background1" w:themeFillShade="D9"/>
          </w:tcPr>
          <w:p w:rsidR="00447A0A" w:rsidRPr="002A081A" w:rsidRDefault="00447A0A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Particular Information</w:t>
            </w:r>
          </w:p>
        </w:tc>
      </w:tr>
      <w:tr w:rsidR="00447A0A" w:rsidRPr="002A081A" w:rsidTr="00447A0A">
        <w:tc>
          <w:tcPr>
            <w:tcW w:w="2547" w:type="dxa"/>
          </w:tcPr>
          <w:p w:rsidR="00447A0A" w:rsidRPr="002A081A" w:rsidRDefault="00BB4501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Project/</w:t>
            </w:r>
            <w:r w:rsidR="00F80564" w:rsidRPr="002A081A">
              <w:rPr>
                <w:rFonts w:ascii="Times New Roman" w:hAnsi="Times New Roman" w:cs="Times New Roman"/>
                <w:lang w:val="en-US"/>
              </w:rPr>
              <w:t>Program</w:t>
            </w:r>
            <w:r w:rsidR="00944CC8" w:rsidRPr="002A081A">
              <w:rPr>
                <w:rFonts w:ascii="Times New Roman" w:hAnsi="Times New Roman" w:cs="Times New Roman"/>
                <w:lang w:val="en-US"/>
              </w:rPr>
              <w:t xml:space="preserve"> Name</w:t>
            </w:r>
          </w:p>
        </w:tc>
        <w:tc>
          <w:tcPr>
            <w:tcW w:w="6469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 xml:space="preserve">VAT and Supplementary Duty </w:t>
            </w:r>
            <w:r w:rsidR="00BB4501" w:rsidRPr="002A081A">
              <w:rPr>
                <w:rFonts w:ascii="Times New Roman" w:hAnsi="Times New Roman" w:cs="Times New Roman"/>
                <w:lang w:val="en-US"/>
              </w:rPr>
              <w:t>Act, 2012 Implementation</w:t>
            </w:r>
          </w:p>
          <w:p w:rsidR="00447A0A" w:rsidRPr="002A081A" w:rsidRDefault="00BB4501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(VAT Online</w:t>
            </w:r>
            <w:r w:rsidR="00944CC8" w:rsidRPr="002A081A">
              <w:rPr>
                <w:rFonts w:ascii="Times New Roman" w:hAnsi="Times New Roman" w:cs="Times New Roman"/>
                <w:lang w:val="en-US"/>
              </w:rPr>
              <w:t>)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Project</w:t>
            </w:r>
          </w:p>
        </w:tc>
      </w:tr>
      <w:tr w:rsidR="00944CC8" w:rsidRPr="002A081A" w:rsidTr="00155CC9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EOI Closing Date and Time</w:t>
            </w:r>
          </w:p>
        </w:tc>
        <w:tc>
          <w:tcPr>
            <w:tcW w:w="6469" w:type="dxa"/>
            <w:shd w:val="clear" w:color="auto" w:fill="FFFFFF" w:themeFill="background1"/>
          </w:tcPr>
          <w:p w:rsidR="00944CC8" w:rsidRPr="002A081A" w:rsidRDefault="00E7145E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28</w:t>
            </w:r>
            <w:r w:rsidR="00155CC9" w:rsidRPr="002A081A">
              <w:rPr>
                <w:rFonts w:ascii="Times New Roman" w:hAnsi="Times New Roman" w:cs="Times New Roman"/>
                <w:lang w:val="en-US"/>
              </w:rPr>
              <w:t>.10.2015, 03:00 pm BST</w:t>
            </w:r>
          </w:p>
        </w:tc>
      </w:tr>
      <w:tr w:rsidR="00944CC8" w:rsidRPr="002A081A" w:rsidTr="00944CC8">
        <w:tc>
          <w:tcPr>
            <w:tcW w:w="9016" w:type="dxa"/>
            <w:gridSpan w:val="2"/>
            <w:shd w:val="clear" w:color="auto" w:fill="D9D9D9" w:themeFill="background1" w:themeFillShade="D9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Information for Applicant</w:t>
            </w:r>
          </w:p>
        </w:tc>
      </w:tr>
      <w:tr w:rsidR="00944CC8" w:rsidRPr="002A081A" w:rsidTr="00447A0A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Brief Description of Assignment</w:t>
            </w:r>
          </w:p>
        </w:tc>
        <w:tc>
          <w:tcPr>
            <w:tcW w:w="6469" w:type="dxa"/>
          </w:tcPr>
          <w:p w:rsidR="00155CC9" w:rsidRPr="002A081A" w:rsidRDefault="00155CC9" w:rsidP="00155CC9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Contract Package No. SD3</w:t>
            </w:r>
          </w:p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Scope of</w:t>
            </w:r>
            <w:r w:rsidR="009F57B2" w:rsidRPr="002A08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081A">
              <w:rPr>
                <w:rFonts w:ascii="Times New Roman" w:hAnsi="Times New Roman" w:cs="Times New Roman"/>
                <w:lang w:val="en-US"/>
              </w:rPr>
              <w:t>service</w:t>
            </w:r>
            <w:r w:rsidR="00155CC9" w:rsidRPr="002A081A">
              <w:rPr>
                <w:rFonts w:ascii="Times New Roman" w:hAnsi="Times New Roman" w:cs="Times New Roman"/>
                <w:lang w:val="en-US"/>
              </w:rPr>
              <w:t>s under the proposed assignment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include</w:t>
            </w:r>
            <w:r w:rsidR="003D6511" w:rsidRPr="002A081A">
              <w:rPr>
                <w:rFonts w:ascii="Times New Roman" w:hAnsi="Times New Roman" w:cs="Times New Roman"/>
                <w:lang w:val="en-US"/>
              </w:rPr>
              <w:t>s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bu</w:t>
            </w:r>
            <w:r w:rsidR="008E6FCC" w:rsidRPr="002A081A"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="003D6511" w:rsidRPr="002A081A">
              <w:rPr>
                <w:rFonts w:ascii="Times New Roman" w:hAnsi="Times New Roman" w:cs="Times New Roman"/>
                <w:lang w:val="en-US"/>
              </w:rPr>
              <w:t xml:space="preserve">is </w:t>
            </w:r>
            <w:r w:rsidR="008E6FCC" w:rsidRPr="002A081A">
              <w:rPr>
                <w:rFonts w:ascii="Times New Roman" w:hAnsi="Times New Roman" w:cs="Times New Roman"/>
                <w:lang w:val="en-US"/>
              </w:rPr>
              <w:t>not limited to the following:</w:t>
            </w:r>
          </w:p>
          <w:p w:rsidR="00290553" w:rsidRPr="002A081A" w:rsidRDefault="00155CC9" w:rsidP="003D6511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Managed s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>ervice</w:t>
            </w:r>
            <w:r w:rsidR="003D6511" w:rsidRPr="002A081A">
              <w:rPr>
                <w:rFonts w:ascii="Times New Roman" w:hAnsi="Times New Roman" w:cs="Times New Roman"/>
                <w:lang w:val="en-US"/>
              </w:rPr>
              <w:t>s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for the Taxpayer</w:t>
            </w:r>
            <w:r w:rsidRPr="002A081A">
              <w:rPr>
                <w:rFonts w:ascii="Times New Roman" w:hAnsi="Times New Roman" w:cs="Times New Roman"/>
                <w:lang w:val="en-US"/>
              </w:rPr>
              <w:t>s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Contact Centre (i.e. a taxpayer care facility) to answer queries from taxpayer</w:t>
            </w:r>
            <w:r w:rsidRPr="002A081A">
              <w:rPr>
                <w:rFonts w:ascii="Times New Roman" w:hAnsi="Times New Roman" w:cs="Times New Roman"/>
                <w:lang w:val="en-US"/>
              </w:rPr>
              <w:t>s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regarding the new VAT law</w:t>
            </w:r>
            <w:r w:rsidR="003D6511" w:rsidRPr="002A081A">
              <w:rPr>
                <w:rFonts w:ascii="Times New Roman" w:hAnsi="Times New Roman" w:cs="Times New Roman"/>
                <w:lang w:val="en-US"/>
              </w:rPr>
              <w:t xml:space="preserve"> and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provid</w:t>
            </w:r>
            <w:r w:rsidR="003D6511" w:rsidRPr="002A081A">
              <w:rPr>
                <w:rFonts w:ascii="Times New Roman" w:hAnsi="Times New Roman" w:cs="Times New Roman"/>
                <w:lang w:val="en-US"/>
              </w:rPr>
              <w:t>ing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a centralized point of contact for taxpayers who require either general information about their obligations under the new VAT </w:t>
            </w:r>
            <w:r w:rsidRPr="002A081A">
              <w:rPr>
                <w:rFonts w:ascii="Times New Roman" w:hAnsi="Times New Roman" w:cs="Times New Roman"/>
                <w:lang w:val="en-US"/>
              </w:rPr>
              <w:t>law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or who have specific enquiri</w:t>
            </w:r>
            <w:r w:rsidRPr="002A081A">
              <w:rPr>
                <w:rFonts w:ascii="Times New Roman" w:hAnsi="Times New Roman" w:cs="Times New Roman"/>
                <w:lang w:val="en-US"/>
              </w:rPr>
              <w:t>es concerning their VAT compliance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D6511" w:rsidRPr="002A081A" w:rsidRDefault="003D6511" w:rsidP="003D6511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An</w:t>
            </w:r>
            <w:r w:rsidR="008A04D7" w:rsidRPr="002A081A">
              <w:rPr>
                <w:rFonts w:ascii="Times New Roman" w:hAnsi="Times New Roman" w:cs="Times New Roman"/>
                <w:lang w:val="en-US"/>
              </w:rPr>
              <w:t>swering queries on resolving any difficulty in using the VAT Online Sy</w:t>
            </w:r>
            <w:r w:rsidR="00155CC9" w:rsidRPr="002A081A">
              <w:rPr>
                <w:rFonts w:ascii="Times New Roman" w:hAnsi="Times New Roman" w:cs="Times New Roman"/>
                <w:lang w:val="en-US"/>
              </w:rPr>
              <w:t>stem</w:t>
            </w:r>
            <w:r w:rsidR="000C0BC8" w:rsidRPr="002A081A">
              <w:rPr>
                <w:rFonts w:ascii="Times New Roman" w:hAnsi="Times New Roman" w:cs="Times New Roman"/>
                <w:lang w:val="en-US"/>
              </w:rPr>
              <w:t xml:space="preserve"> (IVAS-Integrated VAT Administration System)</w:t>
            </w:r>
            <w:r w:rsidR="00155CC9" w:rsidRPr="002A081A">
              <w:rPr>
                <w:rFonts w:ascii="Times New Roman" w:hAnsi="Times New Roman" w:cs="Times New Roman"/>
                <w:lang w:val="en-US"/>
              </w:rPr>
              <w:t xml:space="preserve"> including VAT registration and return submission</w:t>
            </w:r>
            <w:r w:rsidR="008A04D7" w:rsidRPr="002A08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B627A" w:rsidRPr="002A081A" w:rsidRDefault="008A04D7" w:rsidP="00290553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Meeting Ser</w:t>
            </w:r>
            <w:r w:rsidR="00155CC9" w:rsidRPr="002A081A">
              <w:rPr>
                <w:rFonts w:ascii="Times New Roman" w:hAnsi="Times New Roman" w:cs="Times New Roman"/>
                <w:lang w:val="en-US"/>
              </w:rPr>
              <w:t>vice Level Agreements (SLA) on C</w:t>
            </w:r>
            <w:r w:rsidRPr="002A081A">
              <w:rPr>
                <w:rFonts w:ascii="Times New Roman" w:hAnsi="Times New Roman" w:cs="Times New Roman"/>
                <w:lang w:val="en-US"/>
              </w:rPr>
              <w:t>all</w:t>
            </w:r>
            <w:r w:rsidR="00155CC9" w:rsidRPr="002A081A">
              <w:rPr>
                <w:rFonts w:ascii="Times New Roman" w:hAnsi="Times New Roman" w:cs="Times New Roman"/>
                <w:lang w:val="en-US"/>
              </w:rPr>
              <w:t xml:space="preserve"> C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enter service </w:t>
            </w:r>
            <w:r w:rsidRPr="002A081A">
              <w:rPr>
                <w:rFonts w:ascii="Times New Roman" w:hAnsi="Times New Roman" w:cs="Times New Roman"/>
                <w:lang w:val="en-US"/>
              </w:rPr>
              <w:lastRenderedPageBreak/>
              <w:t xml:space="preserve">benchmarks based on 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>performance objectives of call attempts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to connection ratio</w:t>
            </w:r>
            <w:r w:rsidR="000C0BC8" w:rsidRPr="002A081A">
              <w:rPr>
                <w:rFonts w:ascii="Times New Roman" w:hAnsi="Times New Roman" w:cs="Times New Roman"/>
                <w:lang w:val="en-US"/>
              </w:rPr>
              <w:t>, call waiting times,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periodic 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>caller satisfaction surveys</w:t>
            </w:r>
            <w:r w:rsidR="000C0BC8" w:rsidRPr="002A081A">
              <w:rPr>
                <w:rFonts w:ascii="Times New Roman" w:hAnsi="Times New Roman" w:cs="Times New Roman"/>
                <w:lang w:val="en-US"/>
              </w:rPr>
              <w:t xml:space="preserve"> etc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F57B2" w:rsidRPr="002A081A" w:rsidRDefault="008A04D7" w:rsidP="00051D7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bCs/>
                <w:lang w:val="en-US"/>
              </w:rPr>
            </w:pPr>
            <w:r w:rsidRPr="002A081A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5B627A" w:rsidRPr="002A081A">
              <w:rPr>
                <w:rFonts w:ascii="Times New Roman" w:hAnsi="Times New Roman" w:cs="Times New Roman"/>
                <w:bCs/>
                <w:lang w:val="en-US"/>
              </w:rPr>
              <w:t>ncreas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>ing</w:t>
            </w:r>
            <w:r w:rsidR="005B627A" w:rsidRPr="002A08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="005B627A" w:rsidRPr="002A081A">
              <w:rPr>
                <w:rFonts w:ascii="Times New Roman" w:hAnsi="Times New Roman" w:cs="Times New Roman"/>
                <w:bCs/>
                <w:lang w:val="en-US"/>
              </w:rPr>
              <w:t>or decreas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>ing)</w:t>
            </w:r>
            <w:r w:rsidR="005B627A" w:rsidRPr="002A081A">
              <w:rPr>
                <w:rFonts w:ascii="Times New Roman" w:hAnsi="Times New Roman" w:cs="Times New Roman"/>
                <w:bCs/>
                <w:lang w:val="en-US"/>
              </w:rPr>
              <w:t xml:space="preserve"> the number of hours, days and shifts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 xml:space="preserve">, number of agents according to </w:t>
            </w:r>
            <w:r w:rsidR="005B627A" w:rsidRPr="002A081A">
              <w:rPr>
                <w:rFonts w:ascii="Times New Roman" w:hAnsi="Times New Roman" w:cs="Times New Roman"/>
                <w:bCs/>
                <w:lang w:val="en-US"/>
              </w:rPr>
              <w:t>call volumes and workloads.</w:t>
            </w:r>
            <w:r w:rsidR="009F57B2" w:rsidRPr="002A08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051D7C" w:rsidRPr="002A081A" w:rsidRDefault="008A04D7" w:rsidP="00051D7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bCs/>
                <w:lang w:val="en-US"/>
              </w:rPr>
            </w:pPr>
            <w:r w:rsidRPr="002A081A">
              <w:rPr>
                <w:rFonts w:ascii="Times New Roman" w:hAnsi="Times New Roman" w:cs="Times New Roman"/>
                <w:bCs/>
                <w:lang w:val="en-US"/>
              </w:rPr>
              <w:t>Ensuring at o</w:t>
            </w:r>
            <w:r w:rsidR="00161A51" w:rsidRPr="002A081A">
              <w:rPr>
                <w:rFonts w:ascii="Times New Roman" w:hAnsi="Times New Roman" w:cs="Times New Roman"/>
                <w:bCs/>
                <w:lang w:val="en-US"/>
              </w:rPr>
              <w:t>wn costs all provisions of the Contact C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 xml:space="preserve">enter including </w:t>
            </w:r>
            <w:r w:rsidR="00B111FE" w:rsidRPr="002A081A">
              <w:rPr>
                <w:rFonts w:ascii="Times New Roman" w:hAnsi="Times New Roman" w:cs="Times New Roman"/>
                <w:bCs/>
                <w:lang w:val="en-US"/>
              </w:rPr>
              <w:t xml:space="preserve">physical space, 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 xml:space="preserve">servers, CRM software, </w:t>
            </w:r>
            <w:r w:rsidR="00F76BE5" w:rsidRPr="002A081A">
              <w:rPr>
                <w:rFonts w:ascii="Times New Roman" w:hAnsi="Times New Roman" w:cs="Times New Roman"/>
                <w:bCs/>
                <w:lang w:val="en-US"/>
              </w:rPr>
              <w:t xml:space="preserve">PCs, networks, internet bandwidth, power backup, computer telephony integration (CTI), hunting numbers, etc. NBR shall provide </w:t>
            </w:r>
            <w:r w:rsidR="007E218D" w:rsidRPr="002A081A">
              <w:rPr>
                <w:rFonts w:ascii="Times New Roman" w:hAnsi="Times New Roman" w:cs="Times New Roman"/>
                <w:bCs/>
                <w:lang w:val="en-US"/>
              </w:rPr>
              <w:t>a single Bangladesh-</w:t>
            </w:r>
            <w:r w:rsidR="005B627A" w:rsidRPr="002A081A">
              <w:rPr>
                <w:rFonts w:ascii="Times New Roman" w:hAnsi="Times New Roman" w:cs="Times New Roman"/>
                <w:bCs/>
                <w:lang w:val="en-US"/>
              </w:rPr>
              <w:t xml:space="preserve">wide </w:t>
            </w:r>
            <w:r w:rsidR="00F76BE5" w:rsidRPr="002A081A">
              <w:rPr>
                <w:rFonts w:ascii="Times New Roman" w:hAnsi="Times New Roman" w:cs="Times New Roman"/>
                <w:bCs/>
                <w:lang w:val="en-US"/>
              </w:rPr>
              <w:t xml:space="preserve">short code </w:t>
            </w:r>
            <w:r w:rsidR="005B627A" w:rsidRPr="002A081A">
              <w:rPr>
                <w:rFonts w:ascii="Times New Roman" w:hAnsi="Times New Roman" w:cs="Times New Roman"/>
                <w:bCs/>
                <w:lang w:val="en-US"/>
              </w:rPr>
              <w:t xml:space="preserve">telephone number </w:t>
            </w:r>
            <w:r w:rsidR="00161A51" w:rsidRPr="002A081A">
              <w:rPr>
                <w:rFonts w:ascii="Times New Roman" w:hAnsi="Times New Roman" w:cs="Times New Roman"/>
                <w:bCs/>
                <w:lang w:val="en-US"/>
              </w:rPr>
              <w:t>for use by the Contact C</w:t>
            </w:r>
            <w:r w:rsidR="00F76BE5" w:rsidRPr="002A081A">
              <w:rPr>
                <w:rFonts w:ascii="Times New Roman" w:hAnsi="Times New Roman" w:cs="Times New Roman"/>
                <w:bCs/>
                <w:lang w:val="en-US"/>
              </w:rPr>
              <w:t>enter.</w:t>
            </w:r>
          </w:p>
          <w:p w:rsidR="00051D7C" w:rsidRPr="002A081A" w:rsidRDefault="00161A51" w:rsidP="00051D7C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</w:pPr>
            <w:r w:rsidRPr="002A081A">
              <w:rPr>
                <w:rFonts w:ascii="Times New Roman" w:hAnsi="Times New Roman" w:cs="Times New Roman"/>
                <w:bCs/>
                <w:lang w:val="en-US"/>
              </w:rPr>
              <w:t>Providing monthly,</w:t>
            </w:r>
            <w:r w:rsidR="00F76BE5" w:rsidRPr="002A081A">
              <w:rPr>
                <w:rFonts w:ascii="Times New Roman" w:hAnsi="Times New Roman" w:cs="Times New Roman"/>
                <w:bCs/>
                <w:lang w:val="en-US"/>
              </w:rPr>
              <w:t xml:space="preserve"> quarterly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 xml:space="preserve"> and periodic</w:t>
            </w:r>
            <w:r w:rsidR="00F76BE5" w:rsidRPr="002A081A">
              <w:rPr>
                <w:rFonts w:ascii="Times New Roman" w:hAnsi="Times New Roman" w:cs="Times New Roman"/>
                <w:bCs/>
                <w:lang w:val="en-US"/>
              </w:rPr>
              <w:t xml:space="preserve"> reports to NBR on call statistics, </w:t>
            </w:r>
            <w:r w:rsidR="00A26C22" w:rsidRPr="002A081A">
              <w:rPr>
                <w:rFonts w:ascii="Times New Roman" w:hAnsi="Times New Roman" w:cs="Times New Roman"/>
                <w:bCs/>
                <w:lang w:val="en-US"/>
              </w:rPr>
              <w:t xml:space="preserve">query/complaint </w:t>
            </w:r>
            <w:r w:rsidR="00F76BE5" w:rsidRPr="002A081A">
              <w:rPr>
                <w:rFonts w:ascii="Times New Roman" w:hAnsi="Times New Roman" w:cs="Times New Roman"/>
                <w:bCs/>
                <w:lang w:val="en-US"/>
              </w:rPr>
              <w:t xml:space="preserve">resolution </w:t>
            </w:r>
            <w:r w:rsidR="00A26C22" w:rsidRPr="002A081A">
              <w:rPr>
                <w:rFonts w:ascii="Times New Roman" w:hAnsi="Times New Roman" w:cs="Times New Roman"/>
                <w:bCs/>
                <w:lang w:val="en-US"/>
              </w:rPr>
              <w:t>rate, types of queries, etc.</w:t>
            </w:r>
          </w:p>
          <w:p w:rsidR="00290553" w:rsidRPr="002A081A" w:rsidRDefault="00161A51" w:rsidP="00290553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Managed s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>ervice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>s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for 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>a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Central Processing Centre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 xml:space="preserve"> (CPC)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f</w:t>
            </w:r>
            <w:r w:rsidRPr="002A081A">
              <w:rPr>
                <w:rFonts w:ascii="Times New Roman" w:hAnsi="Times New Roman" w:cs="Times New Roman"/>
                <w:lang w:val="en-US"/>
              </w:rPr>
              <w:t>or data capture of registration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forms, monthly VAT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>/Excise/SD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returns and other forms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>/returns</w:t>
            </w:r>
            <w:r w:rsidR="00290553" w:rsidRPr="002A081A">
              <w:rPr>
                <w:rFonts w:ascii="Times New Roman" w:hAnsi="Times New Roman" w:cs="Times New Roman"/>
                <w:lang w:val="en-US"/>
              </w:rPr>
              <w:t xml:space="preserve"> filed on paper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 xml:space="preserve"> in </w:t>
            </w:r>
            <w:r w:rsidRPr="002A081A">
              <w:rPr>
                <w:rFonts w:ascii="Times New Roman" w:hAnsi="Times New Roman" w:cs="Times New Roman"/>
                <w:lang w:val="en-US"/>
              </w:rPr>
              <w:t>VAT offices; and sent to the CPC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 xml:space="preserve"> on a continuing basis</w:t>
            </w:r>
            <w:r w:rsidRPr="002A08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B199F" w:rsidRPr="002A081A" w:rsidRDefault="001B199F" w:rsidP="00290553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bCs/>
                <w:lang w:val="en-US"/>
              </w:rPr>
              <w:t>Ensuring at o</w:t>
            </w:r>
            <w:r w:rsidR="00161A51" w:rsidRPr="002A081A">
              <w:rPr>
                <w:rFonts w:ascii="Times New Roman" w:hAnsi="Times New Roman" w:cs="Times New Roman"/>
                <w:bCs/>
                <w:lang w:val="en-US"/>
              </w:rPr>
              <w:t>wn costs all provisions of the Central Processing C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>enter including physical space, ser</w:t>
            </w:r>
            <w:r w:rsidR="00161A51" w:rsidRPr="002A081A">
              <w:rPr>
                <w:rFonts w:ascii="Times New Roman" w:hAnsi="Times New Roman" w:cs="Times New Roman"/>
                <w:bCs/>
                <w:lang w:val="en-US"/>
              </w:rPr>
              <w:t>vers, CRM software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 xml:space="preserve">, PCs, </w:t>
            </w:r>
            <w:r w:rsidR="00D81C3D" w:rsidRPr="002A081A">
              <w:rPr>
                <w:rFonts w:ascii="Times New Roman" w:hAnsi="Times New Roman" w:cs="Times New Roman"/>
                <w:bCs/>
                <w:lang w:val="en-US"/>
              </w:rPr>
              <w:t xml:space="preserve">scanners, 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>networks, i</w:t>
            </w:r>
            <w:r w:rsidR="004E54C4" w:rsidRPr="002A081A">
              <w:rPr>
                <w:rFonts w:ascii="Times New Roman" w:hAnsi="Times New Roman" w:cs="Times New Roman"/>
                <w:bCs/>
                <w:lang w:val="en-US"/>
              </w:rPr>
              <w:t>nternet bandwidth, power backup and collection of manually submitted forms/returns from field offices,</w:t>
            </w:r>
            <w:r w:rsidRPr="002A081A">
              <w:rPr>
                <w:rFonts w:ascii="Times New Roman" w:hAnsi="Times New Roman" w:cs="Times New Roman"/>
                <w:bCs/>
                <w:lang w:val="en-US"/>
              </w:rPr>
              <w:t xml:space="preserve"> etc.</w:t>
            </w:r>
          </w:p>
          <w:p w:rsidR="00290553" w:rsidRPr="002A081A" w:rsidRDefault="00290553" w:rsidP="00562D9E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Workload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>s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for the CPC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 xml:space="preserve"> ar</w:t>
            </w:r>
            <w:r w:rsidR="00161A51" w:rsidRPr="002A081A">
              <w:rPr>
                <w:rFonts w:ascii="Times New Roman" w:hAnsi="Times New Roman" w:cs="Times New Roman"/>
                <w:lang w:val="en-US"/>
              </w:rPr>
              <w:t>e derived from expected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 xml:space="preserve"> 200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>,</w:t>
            </w:r>
            <w:r w:rsidR="00161A51" w:rsidRPr="002A081A">
              <w:rPr>
                <w:rFonts w:ascii="Times New Roman" w:hAnsi="Times New Roman" w:cs="Times New Roman"/>
                <w:lang w:val="en-US"/>
              </w:rPr>
              <w:t>000</w:t>
            </w:r>
            <w:r w:rsidR="00562D9E" w:rsidRPr="002A081A">
              <w:rPr>
                <w:rFonts w:ascii="Times New Roman" w:hAnsi="Times New Roman" w:cs="Times New Roman"/>
                <w:lang w:val="en-US"/>
              </w:rPr>
              <w:t xml:space="preserve"> VAT registrations and 60,000</w:t>
            </w:r>
            <w:r w:rsidR="005B627A" w:rsidRPr="002A081A">
              <w:rPr>
                <w:rFonts w:ascii="Times New Roman" w:hAnsi="Times New Roman" w:cs="Times New Roman"/>
                <w:lang w:val="en-US"/>
              </w:rPr>
              <w:t xml:space="preserve"> monthly returns</w:t>
            </w:r>
            <w:r w:rsidR="009F57B2" w:rsidRPr="002A081A">
              <w:rPr>
                <w:rFonts w:ascii="Times New Roman" w:hAnsi="Times New Roman" w:cs="Times New Roman"/>
                <w:lang w:val="en-US"/>
              </w:rPr>
              <w:t>,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 xml:space="preserve"> of which initially</w:t>
            </w:r>
            <w:r w:rsidR="00562D9E" w:rsidRPr="002A081A">
              <w:rPr>
                <w:rFonts w:ascii="Times New Roman" w:hAnsi="Times New Roman" w:cs="Times New Roman"/>
                <w:lang w:val="en-US"/>
              </w:rPr>
              <w:t xml:space="preserve"> a 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>substantial portion</w:t>
            </w:r>
            <w:r w:rsidR="00562D9E" w:rsidRPr="002A081A">
              <w:rPr>
                <w:rFonts w:ascii="Times New Roman" w:hAnsi="Times New Roman" w:cs="Times New Roman"/>
                <w:lang w:val="en-US"/>
              </w:rPr>
              <w:t xml:space="preserve"> shall be filed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 xml:space="preserve"> manually </w:t>
            </w:r>
            <w:r w:rsidR="00562BCA" w:rsidRPr="002A081A">
              <w:rPr>
                <w:rFonts w:ascii="Times New Roman" w:hAnsi="Times New Roman" w:cs="Times New Roman"/>
                <w:lang w:val="en-US"/>
              </w:rPr>
              <w:t>and</w:t>
            </w:r>
            <w:r w:rsidR="00A26C22" w:rsidRPr="002A081A">
              <w:rPr>
                <w:rFonts w:ascii="Times New Roman" w:hAnsi="Times New Roman" w:cs="Times New Roman"/>
                <w:lang w:val="en-US"/>
              </w:rPr>
              <w:t xml:space="preserve"> gradually decreasing over time as taxpayers move to online filing.</w:t>
            </w:r>
          </w:p>
        </w:tc>
      </w:tr>
      <w:tr w:rsidR="00944CC8" w:rsidRPr="002A081A" w:rsidTr="00447A0A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lastRenderedPageBreak/>
              <w:t>Experience, Resources and Delivery Capacity Required</w:t>
            </w:r>
          </w:p>
        </w:tc>
        <w:tc>
          <w:tcPr>
            <w:tcW w:w="6469" w:type="dxa"/>
          </w:tcPr>
          <w:p w:rsidR="00FB7F8A" w:rsidRPr="002A081A" w:rsidRDefault="00905434" w:rsidP="00FB7F8A">
            <w:pPr>
              <w:pStyle w:val="ListParagraph"/>
              <w:ind w:left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Interested eligible firms should provide information demonstrating that they have the required qualifications and relevant experience to perform the services.</w:t>
            </w:r>
            <w:r w:rsidR="002551CF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The short-listing criteria are:</w:t>
            </w:r>
          </w:p>
          <w:p w:rsidR="002551CF" w:rsidRPr="002A081A" w:rsidRDefault="002551CF" w:rsidP="002551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General experience of the firm(s);</w:t>
            </w:r>
          </w:p>
          <w:p w:rsidR="002551CF" w:rsidRPr="002A081A" w:rsidRDefault="003E4FF0" w:rsidP="002551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Experience in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project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of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similar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size, complexity and technical specialty;</w:t>
            </w:r>
          </w:p>
          <w:p w:rsidR="003E4FF0" w:rsidRPr="002A081A" w:rsidRDefault="00D53288" w:rsidP="002551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Financial soundness of the firm;</w:t>
            </w:r>
          </w:p>
          <w:p w:rsidR="00D53288" w:rsidRPr="002A081A" w:rsidRDefault="00D53288" w:rsidP="002551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Staffing and logistics of the firm;</w:t>
            </w:r>
          </w:p>
          <w:p w:rsidR="00D53288" w:rsidRPr="002A081A" w:rsidRDefault="00D53288" w:rsidP="002551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While indicating information related to (b), it shall be made clear whether responsibility of the firm was in capacity of a principal firm (lead partner) or as an associated firm (sub-consultant/JV partner).</w:t>
            </w:r>
          </w:p>
          <w:p w:rsidR="00FB7F8A" w:rsidRPr="002A081A" w:rsidRDefault="00FB7F8A" w:rsidP="00FB7F8A">
            <w:pPr>
              <w:pStyle w:val="ListParagraph"/>
              <w:ind w:left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Consultants are required to meet the following:</w:t>
            </w:r>
          </w:p>
          <w:p w:rsidR="00944CC8" w:rsidRPr="002A081A" w:rsidRDefault="0025282F" w:rsidP="005A22B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The minimum</w:t>
            </w:r>
            <w:r w:rsidR="008E6FCC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Average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Annual Service Turnover of last</w:t>
            </w:r>
            <w:r w:rsidR="008E6FCC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three (3) 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years </w:t>
            </w:r>
            <w:r w:rsidR="008E6FCC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shall be USD 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0.5</w:t>
            </w:r>
            <w:r w:rsidR="008E6FCC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Million.</w:t>
            </w:r>
          </w:p>
          <w:p w:rsidR="008E6FCC" w:rsidRPr="002A081A" w:rsidRDefault="008E6FCC" w:rsidP="005A22B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The minimum s</w:t>
            </w:r>
            <w:r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pecific experience as a </w:t>
            </w:r>
            <w:r w:rsidR="00562BCA"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>Lead</w:t>
            </w:r>
            <w:r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Contractor in providing </w:t>
            </w:r>
            <w:r w:rsidR="00562BCA"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>Call/</w:t>
            </w:r>
            <w:r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Contact Center and </w:t>
            </w:r>
            <w:r w:rsidR="00562BCA"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>Data Capture/</w:t>
            </w:r>
            <w:r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Processing Center Services of at least two (2) contracts of similar nature, 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>complexity and methods/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technology</w:t>
            </w:r>
            <w:r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r w:rsidR="0025282F"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executed in the </w:t>
            </w:r>
            <w:r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>last five (5) years</w:t>
            </w:r>
            <w:r w:rsidR="0025282F"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>.</w:t>
            </w:r>
            <w:r w:rsidRPr="002A081A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</w:p>
          <w:p w:rsidR="005A22BA" w:rsidRPr="002A081A" w:rsidRDefault="005A22BA" w:rsidP="005A22B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The minimum amount of working capital i.e. liquid assets and/or credit facilities net of other contractual commitments of the successful Firm, specific to 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>this procurement, shall be USD 0.25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million.</w:t>
            </w:r>
          </w:p>
          <w:p w:rsidR="00290553" w:rsidRPr="002A081A" w:rsidRDefault="008E6FCC" w:rsidP="005A22B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The essential equipment to be made available for the Contract by the successful 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Firm 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shall be </w:t>
            </w:r>
            <w:r w:rsidRPr="002A081A">
              <w:rPr>
                <w:rFonts w:ascii="Times New Roman" w:hAnsi="Times New Roman" w:cs="Times New Roman"/>
                <w:iCs/>
                <w:szCs w:val="24"/>
                <w:lang w:val="en-US"/>
              </w:rPr>
              <w:t>as follows:</w:t>
            </w:r>
          </w:p>
          <w:p w:rsidR="005B627A" w:rsidRPr="002A081A" w:rsidRDefault="005B627A" w:rsidP="00290553">
            <w:pPr>
              <w:ind w:left="7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Office space and equipment and physical Infrastructure for the Centers </w:t>
            </w:r>
          </w:p>
          <w:p w:rsidR="008E6FCC" w:rsidRPr="002A081A" w:rsidRDefault="008E6FCC" w:rsidP="00290553">
            <w:pPr>
              <w:ind w:left="7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5B627A" w:rsidRPr="002A081A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T related hardware and software as required by the Firm’s solution, approach and methodology.  </w:t>
            </w:r>
            <w:r w:rsidR="00290553" w:rsidRPr="002A081A">
              <w:rPr>
                <w:rFonts w:ascii="Times New Roman" w:hAnsi="Times New Roman" w:cs="Times New Roman"/>
                <w:szCs w:val="24"/>
                <w:lang w:val="en-US"/>
              </w:rPr>
              <w:br/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 xml:space="preserve">All such </w:t>
            </w:r>
            <w:r w:rsidR="005B627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property and 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equipment will remain the pro</w:t>
            </w:r>
            <w:r w:rsidR="003110AD" w:rsidRPr="002A081A">
              <w:rPr>
                <w:rFonts w:ascii="Times New Roman" w:hAnsi="Times New Roman" w:cs="Times New Roman"/>
                <w:szCs w:val="24"/>
                <w:lang w:val="en-US"/>
              </w:rPr>
              <w:t>perty and responsibility of the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Firm.</w:t>
            </w:r>
          </w:p>
          <w:p w:rsidR="0025282F" w:rsidRPr="002A081A" w:rsidRDefault="0025282F" w:rsidP="0025282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    Consultants are requested to submit the following supporting documents against the above-mentioned criteria:</w:t>
            </w:r>
          </w:p>
          <w:p w:rsidR="0025282F" w:rsidRPr="002A081A" w:rsidRDefault="0025282F" w:rsidP="002528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Registration paper of the Firm(s);</w:t>
            </w:r>
          </w:p>
          <w:p w:rsidR="0025282F" w:rsidRPr="002A081A" w:rsidRDefault="0025282F" w:rsidP="002528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JV agreement/letter of intent (if applicable);</w:t>
            </w:r>
          </w:p>
          <w:p w:rsidR="0025282F" w:rsidRPr="002A081A" w:rsidRDefault="0025282F" w:rsidP="002528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Firm’s brochure;</w:t>
            </w:r>
          </w:p>
          <w:p w:rsidR="0025282F" w:rsidRPr="002A081A" w:rsidRDefault="0025282F" w:rsidP="002528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Audited financial reports for last three (3) years;</w:t>
            </w:r>
          </w:p>
          <w:p w:rsidR="0025282F" w:rsidRPr="002A081A" w:rsidRDefault="00194B19" w:rsidP="0025282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Service experience record (including nature, total cost, total input in terms of person-month, employer, location of service, etc. 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8E6FCC" w:rsidRPr="002A081A" w:rsidRDefault="008E6FCC" w:rsidP="005A22BA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Maximum number of partners in the JV shall be three</w:t>
            </w:r>
            <w:r w:rsidRPr="002A081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(3)</w:t>
            </w:r>
            <w:r w:rsidR="0025282F" w:rsidRPr="002A081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944CC8" w:rsidRPr="002A081A" w:rsidTr="00447A0A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lastRenderedPageBreak/>
              <w:t>Other details (if applicable)</w:t>
            </w:r>
          </w:p>
        </w:tc>
        <w:tc>
          <w:tcPr>
            <w:tcW w:w="6469" w:type="dxa"/>
          </w:tcPr>
          <w:p w:rsidR="0030568B" w:rsidRPr="002A081A" w:rsidRDefault="005B627A" w:rsidP="005A22B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 xml:space="preserve">VAT Online Project has engaged a supplier for its Integrated VAT Administration System </w:t>
            </w:r>
            <w:r w:rsidR="0030568B" w:rsidRPr="002A081A">
              <w:rPr>
                <w:rFonts w:ascii="Times New Roman" w:hAnsi="Times New Roman" w:cs="Times New Roman"/>
                <w:lang w:val="en-US"/>
              </w:rPr>
              <w:t xml:space="preserve">(IVAS) </w:t>
            </w:r>
            <w:r w:rsidR="00194B19" w:rsidRPr="002A081A">
              <w:rPr>
                <w:rFonts w:ascii="Times New Roman" w:hAnsi="Times New Roman" w:cs="Times New Roman"/>
                <w:lang w:val="en-US"/>
              </w:rPr>
              <w:t>to automate the VAT management system of Bangladesh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>.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568B" w:rsidRPr="002A081A">
              <w:rPr>
                <w:rFonts w:ascii="Times New Roman" w:hAnsi="Times New Roman" w:cs="Times New Roman"/>
                <w:lang w:val="en-US"/>
              </w:rPr>
              <w:t>IVAS will provide application software and data connectivity facilities that the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 xml:space="preserve"> Contact Center and Central Processing Center</w:t>
            </w:r>
            <w:r w:rsidR="0030568B" w:rsidRPr="002A081A">
              <w:rPr>
                <w:rFonts w:ascii="Times New Roman" w:hAnsi="Times New Roman" w:cs="Times New Roman"/>
                <w:lang w:val="en-US"/>
              </w:rPr>
              <w:t xml:space="preserve"> will use for tax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>-</w:t>
            </w:r>
            <w:r w:rsidR="0030568B" w:rsidRPr="002A081A">
              <w:rPr>
                <w:rFonts w:ascii="Times New Roman" w:hAnsi="Times New Roman" w:cs="Times New Roman"/>
                <w:lang w:val="en-US"/>
              </w:rPr>
              <w:t>payer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>s enquiry.</w:t>
            </w:r>
          </w:p>
          <w:p w:rsidR="008E6FCC" w:rsidRPr="002A081A" w:rsidRDefault="008E6FCC" w:rsidP="005A22B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The provision of these services</w:t>
            </w:r>
            <w:r w:rsidR="00015345" w:rsidRPr="002A081A">
              <w:rPr>
                <w:rFonts w:ascii="Times New Roman" w:hAnsi="Times New Roman" w:cs="Times New Roman"/>
                <w:lang w:val="en-US"/>
              </w:rPr>
              <w:t xml:space="preserve"> is complementary and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critical to the successful la</w:t>
            </w:r>
            <w:r w:rsidR="00F0318B" w:rsidRPr="002A081A">
              <w:rPr>
                <w:rFonts w:ascii="Times New Roman" w:hAnsi="Times New Roman" w:cs="Times New Roman"/>
                <w:lang w:val="en-US"/>
              </w:rPr>
              <w:t>unch of VAT Online facilities.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318B" w:rsidRPr="002A081A">
              <w:rPr>
                <w:rFonts w:ascii="Times New Roman" w:hAnsi="Times New Roman" w:cs="Times New Roman"/>
                <w:lang w:val="en-US"/>
              </w:rPr>
              <w:t>The Contact Center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 xml:space="preserve"> and Central Processing Center</w:t>
            </w:r>
            <w:r w:rsidR="00F0318B" w:rsidRPr="002A081A">
              <w:rPr>
                <w:rFonts w:ascii="Times New Roman" w:hAnsi="Times New Roman" w:cs="Times New Roman"/>
                <w:lang w:val="en-US"/>
              </w:rPr>
              <w:t xml:space="preserve"> services are 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>expected</w:t>
            </w:r>
            <w:r w:rsidR="00F0318B" w:rsidRPr="002A081A">
              <w:rPr>
                <w:rFonts w:ascii="Times New Roman" w:hAnsi="Times New Roman" w:cs="Times New Roman"/>
                <w:lang w:val="en-US"/>
              </w:rPr>
              <w:t xml:space="preserve"> to commence</w:t>
            </w:r>
            <w:r w:rsidR="005356F0" w:rsidRPr="002A081A">
              <w:rPr>
                <w:rFonts w:ascii="Times New Roman" w:hAnsi="Times New Roman" w:cs="Times New Roman"/>
                <w:lang w:val="en-US"/>
              </w:rPr>
              <w:t xml:space="preserve"> in</w:t>
            </w:r>
            <w:r w:rsidR="00F0318B" w:rsidRPr="002A08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2BCA" w:rsidRPr="002A081A">
              <w:rPr>
                <w:rFonts w:ascii="Times New Roman" w:hAnsi="Times New Roman" w:cs="Times New Roman"/>
                <w:lang w:val="en-US"/>
              </w:rPr>
              <w:t xml:space="preserve">April </w:t>
            </w:r>
            <w:r w:rsidR="00F0318B" w:rsidRPr="002A081A">
              <w:rPr>
                <w:rFonts w:ascii="Times New Roman" w:hAnsi="Times New Roman" w:cs="Times New Roman"/>
                <w:lang w:val="en-US"/>
              </w:rPr>
              <w:t>2016.</w:t>
            </w:r>
          </w:p>
          <w:p w:rsidR="00944CC8" w:rsidRPr="002A081A" w:rsidRDefault="00E07700" w:rsidP="005A22B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Service tenure:</w:t>
            </w:r>
            <w:r w:rsidR="008E6FCC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48 (forty-eight) months from the date of co</w:t>
            </w:r>
            <w:r w:rsidR="003110AD" w:rsidRPr="002A081A">
              <w:rPr>
                <w:rFonts w:ascii="Times New Roman" w:hAnsi="Times New Roman" w:cs="Times New Roman"/>
                <w:szCs w:val="24"/>
                <w:lang w:val="en-US"/>
              </w:rPr>
              <w:t>mmencement of service which</w:t>
            </w:r>
            <w:r w:rsidR="004E54C4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m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ay be extended upon mutual consent.</w:t>
            </w:r>
          </w:p>
          <w:p w:rsidR="00290553" w:rsidRPr="002A081A" w:rsidRDefault="00290553" w:rsidP="005A22B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 xml:space="preserve">The </w:t>
            </w:r>
            <w:r w:rsidR="003110AD" w:rsidRPr="002A081A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 xml:space="preserve">central </w:t>
            </w:r>
            <w:r w:rsidRPr="002A081A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assignment location will be</w:t>
            </w:r>
            <w:r w:rsidR="004E54C4" w:rsidRPr="002A081A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 xml:space="preserve"> in</w:t>
            </w:r>
            <w:r w:rsidRPr="002A081A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 xml:space="preserve"> Dhaka</w:t>
            </w:r>
            <w:r w:rsidR="003110AD" w:rsidRPr="002A081A">
              <w:rPr>
                <w:rFonts w:ascii="Times New Roman" w:eastAsia="Times New Roman" w:hAnsi="Times New Roman" w:cs="Times New Roman"/>
                <w:szCs w:val="24"/>
                <w:lang w:val="en-US" w:bidi="en-US"/>
              </w:rPr>
              <w:t>; occasional trips to the field offices may be required.</w:t>
            </w:r>
          </w:p>
          <w:p w:rsidR="005A22BA" w:rsidRPr="002A081A" w:rsidRDefault="003110AD" w:rsidP="005A22B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The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professio</w:t>
            </w:r>
            <w:r w:rsidR="00EA4C15" w:rsidRPr="002A081A">
              <w:rPr>
                <w:rFonts w:ascii="Times New Roman" w:hAnsi="Times New Roman" w:cs="Times New Roman"/>
                <w:szCs w:val="24"/>
                <w:lang w:val="en-US"/>
              </w:rPr>
              <w:t>nals required for Contact</w:t>
            </w:r>
            <w:r w:rsidR="004E54C4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Center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  <w:p w:rsidR="005A22BA" w:rsidRPr="002A081A" w:rsidRDefault="005A22BA" w:rsidP="005A22BA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A22BA" w:rsidRPr="002A081A" w:rsidRDefault="00957F89" w:rsidP="005A22BA">
            <w:pPr>
              <w:ind w:left="459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1) Contract Manager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ab/>
              <w:t>2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>) Hardware engineer</w:t>
            </w:r>
          </w:p>
          <w:p w:rsidR="005A22BA" w:rsidRPr="002A081A" w:rsidRDefault="00957F89" w:rsidP="005A22BA">
            <w:pPr>
              <w:ind w:left="45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) 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Training Coordinator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ab/>
              <w:t>4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) Software engineer </w:t>
            </w:r>
          </w:p>
          <w:p w:rsidR="00E07700" w:rsidRPr="002A081A" w:rsidRDefault="00957F89" w:rsidP="005A22BA">
            <w:pPr>
              <w:ind w:left="45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>) Operation Manager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ab/>
            </w:r>
            <w:r w:rsidR="004E54C4" w:rsidRPr="002A081A">
              <w:rPr>
                <w:rFonts w:ascii="Times New Roman" w:hAnsi="Times New Roman" w:cs="Times New Roman"/>
                <w:szCs w:val="24"/>
                <w:lang w:val="en-US"/>
              </w:rPr>
              <w:t>6) IT Support Executive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5A22BA" w:rsidRPr="002A081A" w:rsidRDefault="00957F89" w:rsidP="005A22BA">
            <w:pPr>
              <w:ind w:left="45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="00E07700" w:rsidRPr="002A081A">
              <w:rPr>
                <w:rFonts w:ascii="Times New Roman" w:hAnsi="Times New Roman" w:cs="Times New Roman"/>
                <w:szCs w:val="24"/>
                <w:lang w:val="en-US"/>
              </w:rPr>
              <w:t>) Trained Agents</w:t>
            </w:r>
            <w:r w:rsidR="00290553" w:rsidRPr="002A081A">
              <w:rPr>
                <w:rFonts w:ascii="Times New Roman" w:hAnsi="Times New Roman" w:cs="Times New Roman"/>
                <w:szCs w:val="24"/>
                <w:lang w:val="en-US"/>
              </w:rPr>
              <w:br/>
            </w:r>
            <w:r w:rsidR="00EA4C15" w:rsidRPr="002A081A">
              <w:rPr>
                <w:rFonts w:ascii="Times New Roman" w:hAnsi="Times New Roman" w:cs="Times New Roman"/>
                <w:szCs w:val="24"/>
                <w:lang w:val="en-US"/>
              </w:rPr>
              <w:t>The Firm</w:t>
            </w:r>
            <w:r w:rsidR="00E07700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shall engage sufficient number of above professionals</w:t>
            </w:r>
            <w:r w:rsidR="009F57B2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and other staff as required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for</w:t>
            </w:r>
            <w:r w:rsidR="00E07700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meet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ing</w:t>
            </w:r>
            <w:r w:rsidR="00E07700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the SLA benchmarks </w:t>
            </w:r>
            <w:r w:rsidR="00290553" w:rsidRPr="002A081A">
              <w:rPr>
                <w:rFonts w:ascii="Times New Roman" w:hAnsi="Times New Roman" w:cs="Times New Roman"/>
                <w:szCs w:val="24"/>
                <w:lang w:val="en-US"/>
              </w:rPr>
              <w:t>set by the VAT Online Project</w:t>
            </w:r>
            <w:r w:rsidR="00E07700" w:rsidRPr="002A081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="00290553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5A22BA" w:rsidRPr="002A081A" w:rsidRDefault="008D4CE6" w:rsidP="005A22BA">
            <w:pPr>
              <w:pStyle w:val="ListParagraph"/>
              <w:numPr>
                <w:ilvl w:val="0"/>
                <w:numId w:val="4"/>
              </w:numPr>
              <w:ind w:left="227" w:hanging="227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The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professionals required for Central Processing Center:</w:t>
            </w:r>
          </w:p>
          <w:p w:rsidR="005A22BA" w:rsidRPr="002A081A" w:rsidRDefault="005A22BA" w:rsidP="005A22BA">
            <w:pPr>
              <w:jc w:val="both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A22BA" w:rsidRPr="002A081A" w:rsidRDefault="008D4CE6" w:rsidP="005A22BA">
            <w:pPr>
              <w:ind w:left="459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1) Contract Manager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ab/>
              <w:t>2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) Hardware engineer </w:t>
            </w:r>
          </w:p>
          <w:p w:rsidR="005A22BA" w:rsidRPr="002A081A" w:rsidRDefault="008D4CE6" w:rsidP="005A22BA">
            <w:pPr>
              <w:ind w:left="45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3) Training Coordinator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ab/>
              <w:t>4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) Software engineer </w:t>
            </w:r>
          </w:p>
          <w:p w:rsidR="00E07700" w:rsidRPr="002A081A" w:rsidRDefault="008D4CE6" w:rsidP="00636781">
            <w:pPr>
              <w:ind w:left="45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>) Operati</w:t>
            </w:r>
            <w:r w:rsidR="00EA4C15" w:rsidRPr="002A081A">
              <w:rPr>
                <w:rFonts w:ascii="Times New Roman" w:hAnsi="Times New Roman" w:cs="Times New Roman"/>
                <w:szCs w:val="24"/>
                <w:lang w:val="en-US"/>
              </w:rPr>
              <w:t>on Manager</w:t>
            </w:r>
            <w:r w:rsidR="00EA4C15" w:rsidRPr="002A081A">
              <w:rPr>
                <w:rFonts w:ascii="Times New Roman" w:hAnsi="Times New Roman" w:cs="Times New Roman"/>
                <w:szCs w:val="24"/>
                <w:lang w:val="en-US"/>
              </w:rPr>
              <w:tab/>
              <w:t>6) IT Support Executive</w:t>
            </w:r>
            <w:r w:rsidR="005A22BA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5A22BA" w:rsidRPr="002A081A" w:rsidRDefault="00E07700" w:rsidP="00E07700">
            <w:pPr>
              <w:ind w:left="45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7) Data capture operators</w:t>
            </w:r>
            <w:r w:rsidR="00290553" w:rsidRPr="002A081A">
              <w:rPr>
                <w:rFonts w:ascii="Times New Roman" w:hAnsi="Times New Roman" w:cs="Times New Roman"/>
                <w:szCs w:val="24"/>
                <w:lang w:val="en-US"/>
              </w:rPr>
              <w:br/>
            </w:r>
            <w:r w:rsidR="00EA4C15" w:rsidRPr="002A081A">
              <w:rPr>
                <w:rFonts w:ascii="Times New Roman" w:hAnsi="Times New Roman" w:cs="Times New Roman"/>
                <w:szCs w:val="24"/>
                <w:lang w:val="en-US"/>
              </w:rPr>
              <w:t>The Firm</w:t>
            </w: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shall engage sufficient number of above professionals </w:t>
            </w:r>
            <w:r w:rsidR="009F57B2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and other staff as required </w:t>
            </w:r>
            <w:r w:rsidR="00290553" w:rsidRPr="002A081A">
              <w:rPr>
                <w:rFonts w:ascii="Times New Roman" w:hAnsi="Times New Roman" w:cs="Times New Roman"/>
                <w:szCs w:val="24"/>
                <w:lang w:val="en-US"/>
              </w:rPr>
              <w:t>to meet the</w:t>
            </w:r>
            <w:r w:rsidR="007E218D" w:rsidRPr="002A081A">
              <w:rPr>
                <w:rFonts w:ascii="Times New Roman" w:hAnsi="Times New Roman" w:cs="Times New Roman"/>
                <w:szCs w:val="24"/>
                <w:lang w:val="en-US"/>
              </w:rPr>
              <w:t xml:space="preserve"> performance requirements </w:t>
            </w:r>
            <w:r w:rsidR="00290553" w:rsidRPr="002A081A">
              <w:rPr>
                <w:rFonts w:ascii="Times New Roman" w:hAnsi="Times New Roman" w:cs="Times New Roman"/>
                <w:szCs w:val="24"/>
                <w:lang w:val="en-US"/>
              </w:rPr>
              <w:t>set by the VAT Online Project</w:t>
            </w:r>
            <w:r w:rsidR="000F692A" w:rsidRPr="002A081A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0F692A" w:rsidRPr="002A081A" w:rsidRDefault="000F692A" w:rsidP="000F692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Short-listing will be made in accordance with the “Rule-115 of Public Proc</w:t>
            </w:r>
            <w:r w:rsidR="002A081A" w:rsidRPr="002A081A">
              <w:rPr>
                <w:rFonts w:ascii="Times New Roman" w:hAnsi="Times New Roman" w:cs="Times New Roman"/>
                <w:szCs w:val="24"/>
                <w:lang w:val="en-US"/>
              </w:rPr>
              <w:t>urement Rules (PPR)-2008” applicable in Bangladesh available at www.cptu.gov.bd.</w:t>
            </w:r>
          </w:p>
          <w:p w:rsidR="000F692A" w:rsidRPr="002A081A" w:rsidRDefault="000F692A" w:rsidP="000F692A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A081A">
              <w:rPr>
                <w:rFonts w:ascii="Times New Roman" w:hAnsi="Times New Roman" w:cs="Times New Roman"/>
                <w:szCs w:val="24"/>
                <w:lang w:val="en-US"/>
              </w:rPr>
              <w:t>Interested Firms may submit EOI in person, by courier or by e-mail within the time mentioned above.</w:t>
            </w:r>
          </w:p>
        </w:tc>
      </w:tr>
      <w:tr w:rsidR="00944CC8" w:rsidRPr="002A081A" w:rsidTr="00447A0A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 xml:space="preserve">Association with foreign firms </w:t>
            </w:r>
          </w:p>
        </w:tc>
        <w:tc>
          <w:tcPr>
            <w:tcW w:w="6469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Encouraged but not essential</w:t>
            </w:r>
          </w:p>
        </w:tc>
      </w:tr>
      <w:tr w:rsidR="00944CC8" w:rsidRPr="002A081A" w:rsidTr="00447A0A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Procuring entity details</w:t>
            </w:r>
          </w:p>
        </w:tc>
        <w:tc>
          <w:tcPr>
            <w:tcW w:w="6469" w:type="dxa"/>
          </w:tcPr>
          <w:p w:rsidR="00944CC8" w:rsidRPr="002A081A" w:rsidRDefault="00F0318B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 xml:space="preserve">VAT Online Project, </w:t>
            </w:r>
            <w:r w:rsidR="00EA4C15" w:rsidRPr="002A081A">
              <w:rPr>
                <w:rFonts w:ascii="Times New Roman" w:hAnsi="Times New Roman" w:cs="Times New Roman"/>
                <w:lang w:val="en-US"/>
              </w:rPr>
              <w:t>IDEB Bhaban</w:t>
            </w:r>
            <w:r w:rsidR="00015345" w:rsidRPr="002A081A">
              <w:rPr>
                <w:rFonts w:ascii="Times New Roman" w:hAnsi="Times New Roman" w:cs="Times New Roman"/>
                <w:lang w:val="en-US"/>
              </w:rPr>
              <w:t xml:space="preserve"> (7</w:t>
            </w:r>
            <w:r w:rsidR="00015345" w:rsidRPr="002A081A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015345" w:rsidRPr="002A081A">
              <w:rPr>
                <w:rFonts w:ascii="Times New Roman" w:hAnsi="Times New Roman" w:cs="Times New Roman"/>
                <w:lang w:val="en-US"/>
              </w:rPr>
              <w:t xml:space="preserve"> Floor)</w:t>
            </w:r>
            <w:r w:rsidR="00EA4C15" w:rsidRPr="002A081A">
              <w:rPr>
                <w:rFonts w:ascii="Times New Roman" w:hAnsi="Times New Roman" w:cs="Times New Roman"/>
                <w:lang w:val="en-US"/>
              </w:rPr>
              <w:t>, 160/A Kakrail, Dhaka-1000.</w:t>
            </w:r>
          </w:p>
        </w:tc>
      </w:tr>
      <w:tr w:rsidR="00944CC8" w:rsidRPr="002A081A" w:rsidTr="00447A0A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Name of Official Inviting EOI:</w:t>
            </w:r>
          </w:p>
        </w:tc>
        <w:tc>
          <w:tcPr>
            <w:tcW w:w="6469" w:type="dxa"/>
          </w:tcPr>
          <w:p w:rsidR="00944CC8" w:rsidRPr="002A081A" w:rsidRDefault="00EA4C15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>Md. Rezaul Hasan</w:t>
            </w:r>
          </w:p>
        </w:tc>
      </w:tr>
      <w:tr w:rsidR="00944CC8" w:rsidRPr="002A081A" w:rsidTr="00447A0A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t xml:space="preserve">Designation of Official </w:t>
            </w:r>
            <w:r w:rsidRPr="002A081A">
              <w:rPr>
                <w:rFonts w:ascii="Times New Roman" w:hAnsi="Times New Roman" w:cs="Times New Roman"/>
                <w:lang w:val="en-US"/>
              </w:rPr>
              <w:lastRenderedPageBreak/>
              <w:t>Inviting EOI</w:t>
            </w:r>
          </w:p>
        </w:tc>
        <w:tc>
          <w:tcPr>
            <w:tcW w:w="6469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lastRenderedPageBreak/>
              <w:t>Project Director</w:t>
            </w:r>
            <w:r w:rsidR="008D4CE6" w:rsidRPr="002A081A">
              <w:rPr>
                <w:rFonts w:ascii="Times New Roman" w:hAnsi="Times New Roman" w:cs="Times New Roman"/>
                <w:lang w:val="en-US"/>
              </w:rPr>
              <w:t>,</w:t>
            </w:r>
            <w:r w:rsidRPr="002A081A">
              <w:rPr>
                <w:rFonts w:ascii="Times New Roman" w:hAnsi="Times New Roman" w:cs="Times New Roman"/>
                <w:lang w:val="en-US"/>
              </w:rPr>
              <w:t xml:space="preserve"> VAT Online Project</w:t>
            </w:r>
            <w:r w:rsidR="008D4CE6" w:rsidRPr="002A081A">
              <w:rPr>
                <w:rFonts w:ascii="Times New Roman" w:hAnsi="Times New Roman" w:cs="Times New Roman"/>
                <w:lang w:val="en-US"/>
              </w:rPr>
              <w:t>, NBR</w:t>
            </w:r>
          </w:p>
        </w:tc>
      </w:tr>
      <w:tr w:rsidR="00944CC8" w:rsidRPr="002A081A" w:rsidTr="00EA4C15">
        <w:tc>
          <w:tcPr>
            <w:tcW w:w="2547" w:type="dxa"/>
          </w:tcPr>
          <w:p w:rsidR="00944CC8" w:rsidRPr="002A081A" w:rsidRDefault="00944CC8">
            <w:pPr>
              <w:rPr>
                <w:rFonts w:ascii="Times New Roman" w:hAnsi="Times New Roman" w:cs="Times New Roman"/>
                <w:lang w:val="en-US"/>
              </w:rPr>
            </w:pPr>
            <w:r w:rsidRPr="002A081A">
              <w:rPr>
                <w:rFonts w:ascii="Times New Roman" w:hAnsi="Times New Roman" w:cs="Times New Roman"/>
                <w:lang w:val="en-US"/>
              </w:rPr>
              <w:lastRenderedPageBreak/>
              <w:t>Contacting Details of Official Inviting EOI</w:t>
            </w:r>
          </w:p>
        </w:tc>
        <w:tc>
          <w:tcPr>
            <w:tcW w:w="6469" w:type="dxa"/>
            <w:shd w:val="clear" w:color="auto" w:fill="FFFFFF" w:themeFill="background1"/>
          </w:tcPr>
          <w:p w:rsidR="00944CC8" w:rsidRPr="002A081A" w:rsidRDefault="00CC2169">
            <w:pPr>
              <w:rPr>
                <w:rStyle w:val="preparersnote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A081A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  <w:r w:rsidRPr="002A081A">
              <w:rPr>
                <w:rStyle w:val="preparersnote"/>
                <w:rFonts w:ascii="Times New Roman" w:hAnsi="Times New Roman" w:cs="Times New Roman"/>
                <w:b w:val="0"/>
                <w:sz w:val="18"/>
                <w:szCs w:val="18"/>
              </w:rPr>
              <w:t>Off: 00 88 02 8322306</w:t>
            </w:r>
          </w:p>
          <w:p w:rsidR="00CC2169" w:rsidRPr="002A081A" w:rsidRDefault="00CC2169">
            <w:pPr>
              <w:rPr>
                <w:rStyle w:val="preparersnote"/>
                <w:rFonts w:ascii="Times New Roman" w:hAnsi="Times New Roman" w:cs="Times New Roman"/>
                <w:b w:val="0"/>
              </w:rPr>
            </w:pPr>
            <w:r w:rsidRPr="002A081A">
              <w:rPr>
                <w:rFonts w:ascii="Times New Roman" w:hAnsi="Times New Roman" w:cs="Times New Roman"/>
                <w:sz w:val="20"/>
                <w:szCs w:val="20"/>
              </w:rPr>
              <w:t xml:space="preserve">Fax : </w:t>
            </w:r>
            <w:r w:rsidRPr="002A081A">
              <w:rPr>
                <w:rStyle w:val="preparersnote"/>
                <w:rFonts w:ascii="Times New Roman" w:hAnsi="Times New Roman" w:cs="Times New Roman"/>
                <w:b w:val="0"/>
              </w:rPr>
              <w:t>00 88 02 9348514</w:t>
            </w:r>
          </w:p>
          <w:p w:rsidR="00CC2169" w:rsidRPr="002A081A" w:rsidRDefault="00CC2169" w:rsidP="00CC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81A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2A081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pdvatonline@gmail.com</w:t>
              </w:r>
            </w:hyperlink>
            <w:r w:rsidRPr="002A08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9" w:history="1">
              <w:r w:rsidRPr="002A081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rezaul.hasan@nbr.gov.bd</w:t>
              </w:r>
            </w:hyperlink>
            <w:r w:rsidR="00395EF4" w:rsidRPr="002A081A">
              <w:rPr>
                <w:rFonts w:ascii="Times New Roman" w:hAnsi="Times New Roman" w:cs="Times New Roman"/>
              </w:rPr>
              <w:t>;</w:t>
            </w:r>
          </w:p>
          <w:p w:rsidR="00CC2169" w:rsidRPr="002A081A" w:rsidRDefault="002A081A" w:rsidP="00CC2169">
            <w:pPr>
              <w:rPr>
                <w:rFonts w:ascii="Times New Roman" w:hAnsi="Times New Roman" w:cs="Times New Roman"/>
              </w:rPr>
            </w:pPr>
            <w:hyperlink r:id="rId10" w:history="1">
              <w:r w:rsidR="00CC2169" w:rsidRPr="002A081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roufcus@yahoo.com</w:t>
              </w:r>
            </w:hyperlink>
          </w:p>
          <w:p w:rsidR="00373988" w:rsidRPr="002A081A" w:rsidRDefault="00373988" w:rsidP="00CC21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988" w:rsidRPr="002A081A" w:rsidTr="006068F6">
        <w:tc>
          <w:tcPr>
            <w:tcW w:w="9016" w:type="dxa"/>
            <w:gridSpan w:val="2"/>
          </w:tcPr>
          <w:p w:rsidR="00373988" w:rsidRPr="002A081A" w:rsidRDefault="0037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1A">
              <w:rPr>
                <w:rFonts w:ascii="Times New Roman" w:hAnsi="Times New Roman" w:cs="Times New Roman"/>
                <w:sz w:val="20"/>
                <w:szCs w:val="20"/>
              </w:rPr>
              <w:t>The Procuring Entity reserves the right to reject any or all of the EOIs without assigning any reason.</w:t>
            </w:r>
          </w:p>
          <w:p w:rsidR="00373988" w:rsidRPr="002A081A" w:rsidRDefault="00373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A0A" w:rsidRPr="002A081A" w:rsidRDefault="00447A0A" w:rsidP="000F692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F692A" w:rsidRDefault="000F692A" w:rsidP="000F692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A081A" w:rsidRPr="002A081A" w:rsidRDefault="002A081A" w:rsidP="000F692A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F692A" w:rsidRPr="002A081A" w:rsidRDefault="000F692A" w:rsidP="000F692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47A0A" w:rsidRPr="002A081A" w:rsidRDefault="000F692A" w:rsidP="000F69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A081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Md. Rezaul Hasan</w:t>
      </w:r>
    </w:p>
    <w:p w:rsidR="000F692A" w:rsidRPr="002A081A" w:rsidRDefault="000F692A" w:rsidP="000F69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A081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Project Director</w:t>
      </w:r>
    </w:p>
    <w:p w:rsidR="00BB4501" w:rsidRPr="002A081A" w:rsidRDefault="00BB4501" w:rsidP="000F692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B4501" w:rsidRPr="002A081A" w:rsidRDefault="00BB4501">
      <w:pPr>
        <w:rPr>
          <w:rFonts w:ascii="Times New Roman" w:hAnsi="Times New Roman" w:cs="Times New Roman"/>
          <w:lang w:val="en-US"/>
        </w:rPr>
      </w:pPr>
    </w:p>
    <w:p w:rsidR="00BB4501" w:rsidRPr="002A081A" w:rsidRDefault="00BB4501">
      <w:pPr>
        <w:rPr>
          <w:rFonts w:ascii="Times New Roman" w:hAnsi="Times New Roman" w:cs="Times New Roman"/>
          <w:lang w:val="en-US"/>
        </w:rPr>
      </w:pPr>
    </w:p>
    <w:sectPr w:rsidR="00BB4501" w:rsidRPr="002A081A" w:rsidSect="00677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55FAC" w15:done="0"/>
  <w15:commentEx w15:paraId="3CE3EBF4" w15:done="0"/>
  <w15:commentEx w15:paraId="37B1E2D8" w15:done="0"/>
  <w15:commentEx w15:paraId="3E583E61" w15:done="0"/>
  <w15:commentEx w15:paraId="5A5DD4C5" w15:done="0"/>
  <w15:commentEx w15:paraId="5CB878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C25"/>
    <w:multiLevelType w:val="hybridMultilevel"/>
    <w:tmpl w:val="0C465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DDA"/>
    <w:multiLevelType w:val="hybridMultilevel"/>
    <w:tmpl w:val="B460587C"/>
    <w:lvl w:ilvl="0" w:tplc="D8E0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C77EB"/>
    <w:multiLevelType w:val="hybridMultilevel"/>
    <w:tmpl w:val="2C6205B0"/>
    <w:lvl w:ilvl="0" w:tplc="0546AB0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53A34A7"/>
    <w:multiLevelType w:val="hybridMultilevel"/>
    <w:tmpl w:val="366A12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5B48"/>
    <w:multiLevelType w:val="hybridMultilevel"/>
    <w:tmpl w:val="B904676A"/>
    <w:lvl w:ilvl="0" w:tplc="C8A031BE">
      <w:start w:val="1"/>
      <w:numFmt w:val="lowerLetter"/>
      <w:lvlText w:val="(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5724802"/>
    <w:multiLevelType w:val="hybridMultilevel"/>
    <w:tmpl w:val="4E3602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0FDB"/>
    <w:multiLevelType w:val="hybridMultilevel"/>
    <w:tmpl w:val="11D0B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Norkunas">
    <w15:presenceInfo w15:providerId="Windows Live" w15:userId="82376bc770ac5e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2"/>
  </w:compat>
  <w:rsids>
    <w:rsidRoot w:val="00447A0A"/>
    <w:rsid w:val="00015345"/>
    <w:rsid w:val="00032569"/>
    <w:rsid w:val="00051D7C"/>
    <w:rsid w:val="000C0BC8"/>
    <w:rsid w:val="000E4341"/>
    <w:rsid w:val="000F692A"/>
    <w:rsid w:val="00155CC9"/>
    <w:rsid w:val="00161A51"/>
    <w:rsid w:val="00194B19"/>
    <w:rsid w:val="001B199F"/>
    <w:rsid w:val="002254F6"/>
    <w:rsid w:val="0025282F"/>
    <w:rsid w:val="002551CF"/>
    <w:rsid w:val="00290553"/>
    <w:rsid w:val="002A081A"/>
    <w:rsid w:val="002A6292"/>
    <w:rsid w:val="002F3B13"/>
    <w:rsid w:val="0030568B"/>
    <w:rsid w:val="003110AD"/>
    <w:rsid w:val="00316856"/>
    <w:rsid w:val="003249FE"/>
    <w:rsid w:val="00373988"/>
    <w:rsid w:val="003773DC"/>
    <w:rsid w:val="00395EF4"/>
    <w:rsid w:val="003D1B92"/>
    <w:rsid w:val="003D6511"/>
    <w:rsid w:val="003E4FF0"/>
    <w:rsid w:val="00447A0A"/>
    <w:rsid w:val="004E54C4"/>
    <w:rsid w:val="005356F0"/>
    <w:rsid w:val="00562BCA"/>
    <w:rsid w:val="00562D9E"/>
    <w:rsid w:val="005813D1"/>
    <w:rsid w:val="005A22BA"/>
    <w:rsid w:val="005B627A"/>
    <w:rsid w:val="00636781"/>
    <w:rsid w:val="00677B9E"/>
    <w:rsid w:val="006A1C6A"/>
    <w:rsid w:val="007E218D"/>
    <w:rsid w:val="008A04D7"/>
    <w:rsid w:val="008A0917"/>
    <w:rsid w:val="008D30D2"/>
    <w:rsid w:val="008D4CE6"/>
    <w:rsid w:val="008E6FCC"/>
    <w:rsid w:val="00905434"/>
    <w:rsid w:val="00944CC8"/>
    <w:rsid w:val="00957F89"/>
    <w:rsid w:val="009608B5"/>
    <w:rsid w:val="009C7AA4"/>
    <w:rsid w:val="009F57B2"/>
    <w:rsid w:val="00A26C22"/>
    <w:rsid w:val="00B10306"/>
    <w:rsid w:val="00B111FE"/>
    <w:rsid w:val="00BB4501"/>
    <w:rsid w:val="00C158D3"/>
    <w:rsid w:val="00C81541"/>
    <w:rsid w:val="00CC2169"/>
    <w:rsid w:val="00D53288"/>
    <w:rsid w:val="00D81C3D"/>
    <w:rsid w:val="00D82E1C"/>
    <w:rsid w:val="00D9338D"/>
    <w:rsid w:val="00DE13C8"/>
    <w:rsid w:val="00E07700"/>
    <w:rsid w:val="00E7145E"/>
    <w:rsid w:val="00EA4C15"/>
    <w:rsid w:val="00F0318B"/>
    <w:rsid w:val="00F76BE5"/>
    <w:rsid w:val="00F80564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9E"/>
  </w:style>
  <w:style w:type="paragraph" w:styleId="Heading2">
    <w:name w:val="heading 2"/>
    <w:basedOn w:val="Normal"/>
    <w:next w:val="Normal"/>
    <w:link w:val="Heading2Char"/>
    <w:qFormat/>
    <w:rsid w:val="008E6FCC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F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E6FC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E"/>
    <w:rPr>
      <w:b/>
      <w:bCs/>
      <w:sz w:val="20"/>
      <w:szCs w:val="20"/>
    </w:rPr>
  </w:style>
  <w:style w:type="character" w:customStyle="1" w:styleId="preparersnote">
    <w:name w:val="preparer's note"/>
    <w:rsid w:val="00CC2169"/>
    <w:rPr>
      <w:b/>
      <w:i/>
      <w:iCs/>
    </w:rPr>
  </w:style>
  <w:style w:type="character" w:styleId="Hyperlink">
    <w:name w:val="Hyperlink"/>
    <w:uiPriority w:val="99"/>
    <w:rsid w:val="00CC2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vatonline@gmail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ufcus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aul.hasan@nbr.gov.bd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Norkunas</dc:creator>
  <cp:lastModifiedBy>VOP20</cp:lastModifiedBy>
  <cp:revision>21</cp:revision>
  <cp:lastPrinted>2015-09-30T09:54:00Z</cp:lastPrinted>
  <dcterms:created xsi:type="dcterms:W3CDTF">2015-09-22T05:36:00Z</dcterms:created>
  <dcterms:modified xsi:type="dcterms:W3CDTF">2015-10-05T09:51:00Z</dcterms:modified>
</cp:coreProperties>
</file>